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23" w:rsidRPr="00537323" w:rsidRDefault="00537323" w:rsidP="0053732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k-SK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eastAsia="sk-SK"/>
        </w:rPr>
        <w:t xml:space="preserve"> 9 </w:t>
      </w:r>
      <w:r w:rsidRPr="00537323">
        <w:rPr>
          <w:rFonts w:eastAsia="Times New Roman" w:cstheme="minorHAnsi"/>
          <w:b/>
          <w:bCs/>
          <w:kern w:val="36"/>
          <w:sz w:val="28"/>
          <w:szCs w:val="28"/>
          <w:lang w:eastAsia="sk-SK"/>
        </w:rPr>
        <w:t>BCG matica</w:t>
      </w:r>
    </w:p>
    <w:p w:rsidR="00537323" w:rsidRPr="00537323" w:rsidRDefault="00537323" w:rsidP="00537323">
      <w:pPr>
        <w:spacing w:after="0"/>
        <w:rPr>
          <w:rFonts w:eastAsia="Times New Roman" w:cstheme="minorHAnsi"/>
          <w:sz w:val="24"/>
          <w:szCs w:val="24"/>
          <w:lang w:eastAsia="sk-SK"/>
        </w:rPr>
      </w:pPr>
      <w:r w:rsidRPr="00537323">
        <w:rPr>
          <w:rFonts w:eastAsia="Times New Roman" w:cstheme="minorHAnsi"/>
          <w:sz w:val="24"/>
          <w:szCs w:val="24"/>
          <w:lang w:eastAsia="sk-SK"/>
        </w:rPr>
        <w:t xml:space="preserve">je v marketingu a </w:t>
      </w:r>
      <w:hyperlink r:id="rId6" w:tooltip="Manažment" w:history="1">
        <w:r w:rsidRPr="00537323">
          <w:rPr>
            <w:rFonts w:eastAsia="Times New Roman" w:cstheme="minorHAnsi"/>
            <w:sz w:val="24"/>
            <w:szCs w:val="24"/>
            <w:lang w:eastAsia="sk-SK"/>
          </w:rPr>
          <w:t>manažmente</w:t>
        </w:r>
      </w:hyperlink>
      <w:r w:rsidRPr="00537323">
        <w:rPr>
          <w:rFonts w:eastAsia="Times New Roman" w:cstheme="minorHAnsi"/>
          <w:sz w:val="24"/>
          <w:szCs w:val="24"/>
          <w:lang w:eastAsia="sk-SK"/>
        </w:rPr>
        <w:t xml:space="preserve"> názov </w:t>
      </w:r>
      <w:hyperlink r:id="rId7" w:tooltip="Portfólio (stránka neexistuje)" w:history="1">
        <w:r w:rsidRPr="00537323">
          <w:rPr>
            <w:rFonts w:eastAsia="Times New Roman" w:cstheme="minorHAnsi"/>
            <w:sz w:val="24"/>
            <w:szCs w:val="24"/>
            <w:lang w:eastAsia="sk-SK"/>
          </w:rPr>
          <w:t>portfóliového</w:t>
        </w:r>
      </w:hyperlink>
      <w:r w:rsidRPr="00537323">
        <w:rPr>
          <w:rFonts w:eastAsia="Times New Roman" w:cstheme="minorHAnsi"/>
          <w:sz w:val="24"/>
          <w:szCs w:val="24"/>
          <w:lang w:eastAsia="sk-SK"/>
        </w:rPr>
        <w:t xml:space="preserve"> modelu stratégie, ktorý vyvinula </w:t>
      </w:r>
      <w:hyperlink r:id="rId8" w:tooltip="Spojené štáty" w:history="1">
        <w:r w:rsidRPr="00537323">
          <w:rPr>
            <w:rFonts w:eastAsia="Times New Roman" w:cstheme="minorHAnsi"/>
            <w:sz w:val="24"/>
            <w:szCs w:val="24"/>
            <w:lang w:eastAsia="sk-SK"/>
          </w:rPr>
          <w:t>americká</w:t>
        </w:r>
      </w:hyperlink>
      <w:r w:rsidRPr="00537323">
        <w:rPr>
          <w:rFonts w:eastAsia="Times New Roman" w:cstheme="minorHAnsi"/>
          <w:sz w:val="24"/>
          <w:szCs w:val="24"/>
          <w:lang w:eastAsia="sk-SK"/>
        </w:rPr>
        <w:t xml:space="preserve"> spoločnosť "</w:t>
      </w:r>
      <w:proofErr w:type="spellStart"/>
      <w:r w:rsidRPr="00537323">
        <w:rPr>
          <w:rFonts w:eastAsia="Times New Roman" w:cstheme="minorHAnsi"/>
          <w:sz w:val="24"/>
          <w:szCs w:val="24"/>
          <w:lang w:eastAsia="sk-SK"/>
        </w:rPr>
        <w:t>The</w:t>
      </w:r>
      <w:proofErr w:type="spellEnd"/>
      <w:r w:rsidRPr="00537323">
        <w:rPr>
          <w:rFonts w:eastAsia="Times New Roman" w:cstheme="minorHAnsi"/>
          <w:sz w:val="24"/>
          <w:szCs w:val="24"/>
          <w:lang w:eastAsia="sk-SK"/>
        </w:rPr>
        <w:t xml:space="preserve"> Boston </w:t>
      </w:r>
      <w:proofErr w:type="spellStart"/>
      <w:r w:rsidRPr="00537323">
        <w:rPr>
          <w:rFonts w:eastAsia="Times New Roman" w:cstheme="minorHAnsi"/>
          <w:sz w:val="24"/>
          <w:szCs w:val="24"/>
          <w:lang w:eastAsia="sk-SK"/>
        </w:rPr>
        <w:t>Consulting</w:t>
      </w:r>
      <w:proofErr w:type="spellEnd"/>
      <w:r w:rsidRPr="00537323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37323">
        <w:rPr>
          <w:rFonts w:eastAsia="Times New Roman" w:cstheme="minorHAnsi"/>
          <w:sz w:val="24"/>
          <w:szCs w:val="24"/>
          <w:lang w:eastAsia="sk-SK"/>
        </w:rPr>
        <w:t>Group</w:t>
      </w:r>
      <w:proofErr w:type="spellEnd"/>
      <w:r w:rsidRPr="00537323">
        <w:rPr>
          <w:rFonts w:eastAsia="Times New Roman" w:cstheme="minorHAnsi"/>
          <w:sz w:val="24"/>
          <w:szCs w:val="24"/>
          <w:lang w:eastAsia="sk-SK"/>
        </w:rPr>
        <w:t xml:space="preserve">" (odtiaľ </w:t>
      </w:r>
      <w:r w:rsidRPr="00537323">
        <w:rPr>
          <w:rFonts w:eastAsia="Times New Roman" w:cstheme="minorHAnsi"/>
          <w:i/>
          <w:iCs/>
          <w:sz w:val="24"/>
          <w:szCs w:val="24"/>
          <w:lang w:eastAsia="sk-SK"/>
        </w:rPr>
        <w:t>BCG</w:t>
      </w:r>
      <w:r w:rsidRPr="00537323">
        <w:rPr>
          <w:rFonts w:eastAsia="Times New Roman" w:cstheme="minorHAnsi"/>
          <w:sz w:val="24"/>
          <w:szCs w:val="24"/>
          <w:lang w:eastAsia="sk-SK"/>
        </w:rPr>
        <w:t xml:space="preserve">). Matica ukazuje spojitosti medzi tempom rastu obchodov a </w:t>
      </w:r>
      <w:hyperlink r:id="rId9" w:tooltip="Hospodárska súťaž" w:history="1">
        <w:r w:rsidRPr="00537323">
          <w:rPr>
            <w:rFonts w:eastAsia="Times New Roman" w:cstheme="minorHAnsi"/>
            <w:sz w:val="24"/>
            <w:szCs w:val="24"/>
            <w:lang w:eastAsia="sk-SK"/>
          </w:rPr>
          <w:t>konkurenčnou</w:t>
        </w:r>
      </w:hyperlink>
      <w:r w:rsidRPr="00537323">
        <w:rPr>
          <w:rFonts w:eastAsia="Times New Roman" w:cstheme="minorHAnsi"/>
          <w:sz w:val="24"/>
          <w:szCs w:val="24"/>
          <w:lang w:eastAsia="sk-SK"/>
        </w:rPr>
        <w:t xml:space="preserve"> pozíciou spoločnosti. Slúži predovšetkým </w:t>
      </w:r>
      <w:hyperlink r:id="rId10" w:tooltip="Manažér" w:history="1">
        <w:r w:rsidRPr="00537323">
          <w:rPr>
            <w:rFonts w:eastAsia="Times New Roman" w:cstheme="minorHAnsi"/>
            <w:sz w:val="24"/>
            <w:szCs w:val="24"/>
            <w:lang w:eastAsia="sk-SK"/>
          </w:rPr>
          <w:t>manažérom</w:t>
        </w:r>
      </w:hyperlink>
      <w:r w:rsidRPr="00537323">
        <w:rPr>
          <w:rFonts w:eastAsia="Times New Roman" w:cstheme="minorHAnsi"/>
          <w:sz w:val="24"/>
          <w:szCs w:val="24"/>
          <w:lang w:eastAsia="sk-SK"/>
        </w:rPr>
        <w:t xml:space="preserve"> spoločností ako pomôcka pri riadení a rozhodovaní sa o zdrojoch.</w:t>
      </w:r>
    </w:p>
    <w:p w:rsidR="00537323" w:rsidRPr="00537323" w:rsidRDefault="00537323" w:rsidP="00537323">
      <w:pPr>
        <w:spacing w:after="0"/>
        <w:rPr>
          <w:rFonts w:eastAsia="Times New Roman" w:cstheme="minorHAnsi"/>
          <w:sz w:val="24"/>
          <w:szCs w:val="24"/>
          <w:lang w:eastAsia="sk-SK"/>
        </w:rPr>
      </w:pPr>
      <w:r w:rsidRPr="00537323">
        <w:rPr>
          <w:rFonts w:eastAsia="Times New Roman" w:cstheme="minorHAnsi"/>
          <w:sz w:val="24"/>
          <w:szCs w:val="24"/>
          <w:lang w:eastAsia="sk-SK"/>
        </w:rPr>
        <w:t>Základom analýzy portfólia je tzv. BCG matica. Použitie matice prebieha v troch krokoch:</w:t>
      </w:r>
    </w:p>
    <w:p w:rsidR="00537323" w:rsidRPr="00537323" w:rsidRDefault="00537323" w:rsidP="00537323">
      <w:pPr>
        <w:numPr>
          <w:ilvl w:val="0"/>
          <w:numId w:val="1"/>
        </w:numPr>
        <w:spacing w:after="0"/>
        <w:rPr>
          <w:rFonts w:eastAsia="Times New Roman" w:cstheme="minorHAnsi"/>
          <w:sz w:val="24"/>
          <w:szCs w:val="24"/>
          <w:lang w:eastAsia="sk-SK"/>
        </w:rPr>
      </w:pPr>
      <w:r w:rsidRPr="00537323">
        <w:rPr>
          <w:rFonts w:eastAsia="Times New Roman" w:cstheme="minorHAnsi"/>
          <w:sz w:val="24"/>
          <w:szCs w:val="24"/>
          <w:lang w:eastAsia="sk-SK"/>
        </w:rPr>
        <w:t xml:space="preserve">rozdelenie </w:t>
      </w:r>
      <w:hyperlink r:id="rId11" w:tooltip="Podnik" w:history="1">
        <w:r w:rsidRPr="00537323">
          <w:rPr>
            <w:rFonts w:eastAsia="Times New Roman" w:cstheme="minorHAnsi"/>
            <w:sz w:val="24"/>
            <w:szCs w:val="24"/>
            <w:lang w:eastAsia="sk-SK"/>
          </w:rPr>
          <w:t>podniku</w:t>
        </w:r>
      </w:hyperlink>
      <w:r w:rsidRPr="00537323">
        <w:rPr>
          <w:rFonts w:eastAsia="Times New Roman" w:cstheme="minorHAnsi"/>
          <w:sz w:val="24"/>
          <w:szCs w:val="24"/>
          <w:lang w:eastAsia="sk-SK"/>
        </w:rPr>
        <w:t xml:space="preserve"> na strategické podnikateľské jednotky (SPJ, </w:t>
      </w:r>
      <w:proofErr w:type="spellStart"/>
      <w:r w:rsidRPr="00537323">
        <w:rPr>
          <w:rFonts w:eastAsia="Times New Roman" w:cstheme="minorHAnsi"/>
          <w:sz w:val="24"/>
          <w:szCs w:val="24"/>
          <w:lang w:eastAsia="sk-SK"/>
        </w:rPr>
        <w:t>strategic</w:t>
      </w:r>
      <w:proofErr w:type="spellEnd"/>
      <w:r w:rsidRPr="00537323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37323">
        <w:rPr>
          <w:rFonts w:eastAsia="Times New Roman" w:cstheme="minorHAnsi"/>
          <w:sz w:val="24"/>
          <w:szCs w:val="24"/>
          <w:lang w:eastAsia="sk-SK"/>
        </w:rPr>
        <w:t>business</w:t>
      </w:r>
      <w:proofErr w:type="spellEnd"/>
      <w:r w:rsidRPr="00537323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37323">
        <w:rPr>
          <w:rFonts w:eastAsia="Times New Roman" w:cstheme="minorHAnsi"/>
          <w:sz w:val="24"/>
          <w:szCs w:val="24"/>
          <w:lang w:eastAsia="sk-SK"/>
        </w:rPr>
        <w:t>units</w:t>
      </w:r>
      <w:proofErr w:type="spellEnd"/>
      <w:r w:rsidRPr="00537323">
        <w:rPr>
          <w:rFonts w:eastAsia="Times New Roman" w:cstheme="minorHAnsi"/>
          <w:sz w:val="24"/>
          <w:szCs w:val="24"/>
          <w:lang w:eastAsia="sk-SK"/>
        </w:rPr>
        <w:t>)</w:t>
      </w:r>
    </w:p>
    <w:p w:rsidR="00537323" w:rsidRPr="00537323" w:rsidRDefault="00537323" w:rsidP="00537323">
      <w:pPr>
        <w:numPr>
          <w:ilvl w:val="0"/>
          <w:numId w:val="1"/>
        </w:numPr>
        <w:spacing w:after="0"/>
        <w:rPr>
          <w:rFonts w:eastAsia="Times New Roman" w:cstheme="minorHAnsi"/>
          <w:sz w:val="24"/>
          <w:szCs w:val="24"/>
          <w:lang w:eastAsia="sk-SK"/>
        </w:rPr>
      </w:pPr>
      <w:r w:rsidRPr="00537323">
        <w:rPr>
          <w:rFonts w:eastAsia="Times New Roman" w:cstheme="minorHAnsi"/>
          <w:sz w:val="24"/>
          <w:szCs w:val="24"/>
          <w:lang w:eastAsia="sk-SK"/>
        </w:rPr>
        <w:t>vzájomné porovnanie jednotlivých SPJ a ich prínosov</w:t>
      </w:r>
    </w:p>
    <w:p w:rsidR="00537323" w:rsidRPr="00537323" w:rsidRDefault="00537323" w:rsidP="00537323">
      <w:pPr>
        <w:numPr>
          <w:ilvl w:val="0"/>
          <w:numId w:val="1"/>
        </w:numPr>
        <w:spacing w:after="0"/>
        <w:rPr>
          <w:rFonts w:eastAsia="Times New Roman" w:cstheme="minorHAnsi"/>
          <w:sz w:val="24"/>
          <w:szCs w:val="24"/>
          <w:lang w:eastAsia="sk-SK"/>
        </w:rPr>
      </w:pPr>
      <w:r w:rsidRPr="00537323">
        <w:rPr>
          <w:rFonts w:eastAsia="Times New Roman" w:cstheme="minorHAnsi"/>
          <w:sz w:val="24"/>
          <w:szCs w:val="24"/>
          <w:lang w:eastAsia="sk-SK"/>
        </w:rPr>
        <w:t>vývoj strategických cieľov s ohľadom na jednotlivé SPJ</w:t>
      </w:r>
    </w:p>
    <w:p w:rsidR="00537323" w:rsidRPr="00537323" w:rsidRDefault="00537323" w:rsidP="00537323">
      <w:pPr>
        <w:spacing w:after="0"/>
        <w:rPr>
          <w:rFonts w:eastAsia="Times New Roman" w:cstheme="minorHAnsi"/>
          <w:sz w:val="24"/>
          <w:szCs w:val="24"/>
          <w:lang w:eastAsia="sk-SK"/>
        </w:rPr>
      </w:pPr>
      <w:r w:rsidRPr="00537323">
        <w:rPr>
          <w:rFonts w:eastAsia="Times New Roman" w:cstheme="minorHAnsi"/>
          <w:sz w:val="24"/>
          <w:szCs w:val="24"/>
          <w:lang w:eastAsia="sk-SK"/>
        </w:rPr>
        <w:t>Podľa BCG matice sú strategické podnikateľské jednotky rozdelené do štyroch kvadrantov podľa toho, aký podiel na trhu jednotlivé SPJ zaujímajú a aký sa predpokladá rozvoj konkurenčného okolia.</w:t>
      </w:r>
    </w:p>
    <w:p w:rsidR="00537323" w:rsidRPr="00537323" w:rsidRDefault="00537323" w:rsidP="00537323">
      <w:pPr>
        <w:spacing w:after="0"/>
        <w:outlineLvl w:val="1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537323">
        <w:rPr>
          <w:rFonts w:eastAsia="Times New Roman" w:cstheme="minorHAnsi"/>
          <w:b/>
          <w:bCs/>
          <w:sz w:val="24"/>
          <w:szCs w:val="24"/>
          <w:lang w:eastAsia="sk-SK"/>
        </w:rPr>
        <w:t>Kvadranty matice</w:t>
      </w:r>
    </w:p>
    <w:p w:rsidR="00537323" w:rsidRDefault="00537323" w:rsidP="00537323">
      <w:pPr>
        <w:spacing w:after="0"/>
        <w:rPr>
          <w:rFonts w:eastAsia="Times New Roman" w:cstheme="minorHAnsi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 wp14:anchorId="77ADB977" wp14:editId="4D8F8E77">
            <wp:extent cx="3057099" cy="2942425"/>
            <wp:effectExtent l="0" t="0" r="0" b="0"/>
            <wp:docPr id="2" name="Obrázok 2" descr="Výsledok vyh&amp;lcaron;adávania obrázkov pre dopyt matica B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&amp;lcaron;adávania obrázkov pre dopyt matica BC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271" cy="294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Market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share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t xml:space="preserve"> – trhový podiel</w:t>
      </w:r>
    </w:p>
    <w:p w:rsidR="00537323" w:rsidRPr="00537323" w:rsidRDefault="00537323" w:rsidP="00537323">
      <w:pPr>
        <w:spacing w:after="0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ab/>
      </w:r>
      <w:r>
        <w:rPr>
          <w:rFonts w:eastAsia="Times New Roman" w:cstheme="minorHAnsi"/>
          <w:sz w:val="24"/>
          <w:szCs w:val="24"/>
          <w:lang w:eastAsia="sk-SK"/>
        </w:rPr>
        <w:tab/>
      </w:r>
      <w:r>
        <w:rPr>
          <w:rFonts w:eastAsia="Times New Roman" w:cstheme="minorHAnsi"/>
          <w:sz w:val="24"/>
          <w:szCs w:val="24"/>
          <w:lang w:eastAsia="sk-SK"/>
        </w:rPr>
        <w:tab/>
      </w:r>
      <w:r>
        <w:rPr>
          <w:rFonts w:eastAsia="Times New Roman" w:cstheme="minorHAnsi"/>
          <w:sz w:val="24"/>
          <w:szCs w:val="24"/>
          <w:lang w:eastAsia="sk-SK"/>
        </w:rPr>
        <w:tab/>
        <w:t xml:space="preserve">                                 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sk-SK"/>
        </w:rPr>
        <w:t xml:space="preserve">  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Market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Growth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t xml:space="preserve"> – tempo rastu</w:t>
      </w:r>
      <w:r>
        <w:rPr>
          <w:rFonts w:eastAsia="Times New Roman" w:cstheme="minorHAnsi"/>
          <w:sz w:val="24"/>
          <w:szCs w:val="24"/>
          <w:lang w:eastAsia="sk-SK"/>
        </w:rPr>
        <w:tab/>
      </w:r>
    </w:p>
    <w:p w:rsidR="00537323" w:rsidRPr="00537323" w:rsidRDefault="00537323" w:rsidP="00537323">
      <w:pPr>
        <w:spacing w:after="0"/>
        <w:rPr>
          <w:rFonts w:eastAsia="Times New Roman" w:cstheme="minorHAnsi"/>
          <w:sz w:val="24"/>
          <w:szCs w:val="24"/>
          <w:lang w:eastAsia="sk-SK"/>
        </w:rPr>
      </w:pPr>
      <w:r w:rsidRPr="00537323">
        <w:rPr>
          <w:rFonts w:eastAsia="Times New Roman" w:cstheme="minorHAnsi"/>
          <w:sz w:val="24"/>
          <w:szCs w:val="24"/>
          <w:lang w:eastAsia="sk-SK"/>
        </w:rPr>
        <w:t>BCG Matica</w:t>
      </w:r>
    </w:p>
    <w:p w:rsidR="00537323" w:rsidRPr="00537323" w:rsidRDefault="00537323" w:rsidP="00537323">
      <w:pPr>
        <w:spacing w:after="0"/>
        <w:rPr>
          <w:rFonts w:eastAsia="Times New Roman" w:cstheme="minorHAnsi"/>
          <w:sz w:val="24"/>
          <w:szCs w:val="24"/>
          <w:lang w:eastAsia="sk-SK"/>
        </w:rPr>
      </w:pPr>
      <w:r w:rsidRPr="00537323">
        <w:rPr>
          <w:rFonts w:eastAsia="Times New Roman" w:cstheme="minorHAnsi"/>
          <w:sz w:val="24"/>
          <w:szCs w:val="24"/>
          <w:lang w:eastAsia="sk-SK"/>
        </w:rPr>
        <w:t>Jednotlivé kvadranty BCG matice sa nazývajú Otázniky (</w:t>
      </w:r>
      <w:hyperlink r:id="rId13" w:tooltip="Angličtina" w:history="1">
        <w:r w:rsidRPr="00537323">
          <w:rPr>
            <w:rFonts w:eastAsia="Times New Roman" w:cstheme="minorHAnsi"/>
            <w:sz w:val="24"/>
            <w:szCs w:val="24"/>
            <w:lang w:eastAsia="sk-SK"/>
          </w:rPr>
          <w:t>anglicky</w:t>
        </w:r>
      </w:hyperlink>
      <w:r w:rsidRPr="00537323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37323">
        <w:rPr>
          <w:rFonts w:eastAsia="Times New Roman" w:cstheme="minorHAnsi"/>
          <w:i/>
          <w:iCs/>
          <w:sz w:val="24"/>
          <w:szCs w:val="24"/>
          <w:lang w:eastAsia="sk-SK"/>
        </w:rPr>
        <w:t>Question</w:t>
      </w:r>
      <w:proofErr w:type="spellEnd"/>
      <w:r w:rsidRPr="00537323">
        <w:rPr>
          <w:rFonts w:eastAsia="Times New Roman" w:cstheme="minorHAnsi"/>
          <w:i/>
          <w:iCs/>
          <w:sz w:val="24"/>
          <w:szCs w:val="24"/>
          <w:lang w:eastAsia="sk-SK"/>
        </w:rPr>
        <w:t xml:space="preserve"> </w:t>
      </w:r>
      <w:proofErr w:type="spellStart"/>
      <w:r w:rsidRPr="00537323">
        <w:rPr>
          <w:rFonts w:eastAsia="Times New Roman" w:cstheme="minorHAnsi"/>
          <w:i/>
          <w:iCs/>
          <w:sz w:val="24"/>
          <w:szCs w:val="24"/>
          <w:lang w:eastAsia="sk-SK"/>
        </w:rPr>
        <w:t>marks</w:t>
      </w:r>
      <w:proofErr w:type="spellEnd"/>
      <w:r w:rsidRPr="00537323">
        <w:rPr>
          <w:rFonts w:eastAsia="Times New Roman" w:cstheme="minorHAnsi"/>
          <w:sz w:val="24"/>
          <w:szCs w:val="24"/>
          <w:lang w:eastAsia="sk-SK"/>
        </w:rPr>
        <w:t>), Hviezdy (</w:t>
      </w:r>
      <w:proofErr w:type="spellStart"/>
      <w:r w:rsidRPr="00537323">
        <w:rPr>
          <w:rFonts w:eastAsia="Times New Roman" w:cstheme="minorHAnsi"/>
          <w:sz w:val="24"/>
          <w:szCs w:val="24"/>
          <w:lang w:eastAsia="sk-SK"/>
        </w:rPr>
        <w:t>ang</w:t>
      </w:r>
      <w:proofErr w:type="spellEnd"/>
      <w:r w:rsidRPr="00537323">
        <w:rPr>
          <w:rFonts w:eastAsia="Times New Roman" w:cstheme="minorHAnsi"/>
          <w:sz w:val="24"/>
          <w:szCs w:val="24"/>
          <w:lang w:eastAsia="sk-SK"/>
        </w:rPr>
        <w:t xml:space="preserve">. </w:t>
      </w:r>
      <w:proofErr w:type="spellStart"/>
      <w:r w:rsidRPr="00537323">
        <w:rPr>
          <w:rFonts w:eastAsia="Times New Roman" w:cstheme="minorHAnsi"/>
          <w:i/>
          <w:iCs/>
          <w:sz w:val="24"/>
          <w:szCs w:val="24"/>
          <w:lang w:eastAsia="sk-SK"/>
        </w:rPr>
        <w:t>Stars</w:t>
      </w:r>
      <w:proofErr w:type="spellEnd"/>
      <w:r w:rsidRPr="00537323">
        <w:rPr>
          <w:rFonts w:eastAsia="Times New Roman" w:cstheme="minorHAnsi"/>
          <w:sz w:val="24"/>
          <w:szCs w:val="24"/>
          <w:lang w:eastAsia="sk-SK"/>
        </w:rPr>
        <w:t>), Dojné kravy (</w:t>
      </w:r>
      <w:proofErr w:type="spellStart"/>
      <w:r w:rsidRPr="00537323">
        <w:rPr>
          <w:rFonts w:eastAsia="Times New Roman" w:cstheme="minorHAnsi"/>
          <w:sz w:val="24"/>
          <w:szCs w:val="24"/>
          <w:lang w:eastAsia="sk-SK"/>
        </w:rPr>
        <w:t>ang</w:t>
      </w:r>
      <w:proofErr w:type="spellEnd"/>
      <w:r w:rsidRPr="00537323">
        <w:rPr>
          <w:rFonts w:eastAsia="Times New Roman" w:cstheme="minorHAnsi"/>
          <w:sz w:val="24"/>
          <w:szCs w:val="24"/>
          <w:lang w:eastAsia="sk-SK"/>
        </w:rPr>
        <w:t xml:space="preserve">. </w:t>
      </w:r>
      <w:proofErr w:type="spellStart"/>
      <w:r w:rsidRPr="00537323">
        <w:rPr>
          <w:rFonts w:eastAsia="Times New Roman" w:cstheme="minorHAnsi"/>
          <w:i/>
          <w:iCs/>
          <w:sz w:val="24"/>
          <w:szCs w:val="24"/>
          <w:lang w:eastAsia="sk-SK"/>
        </w:rPr>
        <w:t>Cash</w:t>
      </w:r>
      <w:proofErr w:type="spellEnd"/>
      <w:r w:rsidRPr="00537323">
        <w:rPr>
          <w:rFonts w:eastAsia="Times New Roman" w:cstheme="minorHAnsi"/>
          <w:i/>
          <w:iCs/>
          <w:sz w:val="24"/>
          <w:szCs w:val="24"/>
          <w:lang w:eastAsia="sk-SK"/>
        </w:rPr>
        <w:t xml:space="preserve"> </w:t>
      </w:r>
      <w:proofErr w:type="spellStart"/>
      <w:r w:rsidRPr="00537323">
        <w:rPr>
          <w:rFonts w:eastAsia="Times New Roman" w:cstheme="minorHAnsi"/>
          <w:i/>
          <w:iCs/>
          <w:sz w:val="24"/>
          <w:szCs w:val="24"/>
          <w:lang w:eastAsia="sk-SK"/>
        </w:rPr>
        <w:t>cows</w:t>
      </w:r>
      <w:proofErr w:type="spellEnd"/>
      <w:r w:rsidRPr="00537323">
        <w:rPr>
          <w:rFonts w:eastAsia="Times New Roman" w:cstheme="minorHAnsi"/>
          <w:sz w:val="24"/>
          <w:szCs w:val="24"/>
          <w:lang w:eastAsia="sk-SK"/>
        </w:rPr>
        <w:t>) a Psi (</w:t>
      </w:r>
      <w:proofErr w:type="spellStart"/>
      <w:r w:rsidRPr="00537323">
        <w:rPr>
          <w:rFonts w:eastAsia="Times New Roman" w:cstheme="minorHAnsi"/>
          <w:sz w:val="24"/>
          <w:szCs w:val="24"/>
          <w:lang w:eastAsia="sk-SK"/>
        </w:rPr>
        <w:t>ang</w:t>
      </w:r>
      <w:proofErr w:type="spellEnd"/>
      <w:r w:rsidRPr="00537323">
        <w:rPr>
          <w:rFonts w:eastAsia="Times New Roman" w:cstheme="minorHAnsi"/>
          <w:sz w:val="24"/>
          <w:szCs w:val="24"/>
          <w:lang w:eastAsia="sk-SK"/>
        </w:rPr>
        <w:t xml:space="preserve">. </w:t>
      </w:r>
      <w:proofErr w:type="spellStart"/>
      <w:r w:rsidRPr="00537323">
        <w:rPr>
          <w:rFonts w:eastAsia="Times New Roman" w:cstheme="minorHAnsi"/>
          <w:i/>
          <w:iCs/>
          <w:sz w:val="24"/>
          <w:szCs w:val="24"/>
          <w:lang w:eastAsia="sk-SK"/>
        </w:rPr>
        <w:t>Dogs</w:t>
      </w:r>
      <w:proofErr w:type="spellEnd"/>
      <w:r w:rsidRPr="00537323">
        <w:rPr>
          <w:rFonts w:eastAsia="Times New Roman" w:cstheme="minorHAnsi"/>
          <w:sz w:val="24"/>
          <w:szCs w:val="24"/>
          <w:lang w:eastAsia="sk-SK"/>
        </w:rPr>
        <w:t>).</w:t>
      </w:r>
    </w:p>
    <w:p w:rsidR="00537323" w:rsidRPr="00537323" w:rsidRDefault="00537323" w:rsidP="00537323">
      <w:pPr>
        <w:spacing w:after="0"/>
        <w:rPr>
          <w:rFonts w:eastAsia="Times New Roman" w:cstheme="minorHAnsi"/>
          <w:sz w:val="24"/>
          <w:szCs w:val="24"/>
          <w:lang w:eastAsia="sk-SK"/>
        </w:rPr>
      </w:pPr>
      <w:r w:rsidRPr="00537323">
        <w:rPr>
          <w:rFonts w:eastAsia="Times New Roman" w:cstheme="minorHAnsi"/>
          <w:sz w:val="24"/>
          <w:szCs w:val="24"/>
          <w:lang w:eastAsia="sk-SK"/>
        </w:rPr>
        <w:t>Otázniky</w:t>
      </w:r>
    </w:p>
    <w:p w:rsidR="00537323" w:rsidRPr="00537323" w:rsidRDefault="00537323" w:rsidP="00537323">
      <w:pPr>
        <w:spacing w:after="0"/>
        <w:ind w:left="720"/>
        <w:rPr>
          <w:rFonts w:eastAsia="Times New Roman" w:cstheme="minorHAnsi"/>
          <w:sz w:val="24"/>
          <w:szCs w:val="24"/>
          <w:lang w:eastAsia="sk-SK"/>
        </w:rPr>
      </w:pPr>
      <w:r w:rsidRPr="00537323">
        <w:rPr>
          <w:rFonts w:eastAsia="Times New Roman" w:cstheme="minorHAnsi"/>
          <w:sz w:val="24"/>
          <w:szCs w:val="24"/>
          <w:lang w:eastAsia="sk-SK"/>
        </w:rPr>
        <w:t>Ide o výrobky v štádiu zavádzania na trh, vyžadujú značné finančné vstupy, ale sú šancou do budúcnosti. Prieskum trhu rozhodne, či do nich ďalej investovať alebo ich stiahnuť.</w:t>
      </w:r>
    </w:p>
    <w:p w:rsidR="00537323" w:rsidRPr="00537323" w:rsidRDefault="00537323" w:rsidP="00537323">
      <w:pPr>
        <w:spacing w:after="0"/>
        <w:rPr>
          <w:rFonts w:eastAsia="Times New Roman" w:cstheme="minorHAnsi"/>
          <w:sz w:val="24"/>
          <w:szCs w:val="24"/>
          <w:lang w:eastAsia="sk-SK"/>
        </w:rPr>
      </w:pPr>
      <w:r w:rsidRPr="00537323">
        <w:rPr>
          <w:rFonts w:eastAsia="Times New Roman" w:cstheme="minorHAnsi"/>
          <w:sz w:val="24"/>
          <w:szCs w:val="24"/>
          <w:lang w:eastAsia="sk-SK"/>
        </w:rPr>
        <w:t>Hviezdy</w:t>
      </w:r>
    </w:p>
    <w:p w:rsidR="00537323" w:rsidRPr="00537323" w:rsidRDefault="00537323" w:rsidP="00537323">
      <w:pPr>
        <w:spacing w:after="0"/>
        <w:ind w:left="720"/>
        <w:rPr>
          <w:rFonts w:eastAsia="Times New Roman" w:cstheme="minorHAnsi"/>
          <w:sz w:val="24"/>
          <w:szCs w:val="24"/>
          <w:lang w:eastAsia="sk-SK"/>
        </w:rPr>
      </w:pPr>
      <w:r w:rsidRPr="00537323">
        <w:rPr>
          <w:rFonts w:eastAsia="Times New Roman" w:cstheme="minorHAnsi"/>
          <w:sz w:val="24"/>
          <w:szCs w:val="24"/>
          <w:lang w:eastAsia="sk-SK"/>
        </w:rPr>
        <w:t>Produkty, ktoré majú najlepšie obchodné výsledky čo do rastu tempa obratu, tak do podielu na trhu. Udržanie týchto výsledkov je tiež finančne náročné, ale výsledkom je vysoký zisk.</w:t>
      </w:r>
    </w:p>
    <w:p w:rsidR="00537323" w:rsidRPr="00537323" w:rsidRDefault="00537323" w:rsidP="00537323">
      <w:pPr>
        <w:spacing w:after="0"/>
        <w:rPr>
          <w:rFonts w:eastAsia="Times New Roman" w:cstheme="minorHAnsi"/>
          <w:sz w:val="24"/>
          <w:szCs w:val="24"/>
          <w:lang w:eastAsia="sk-SK"/>
        </w:rPr>
      </w:pPr>
      <w:r w:rsidRPr="00537323">
        <w:rPr>
          <w:rFonts w:eastAsia="Times New Roman" w:cstheme="minorHAnsi"/>
          <w:sz w:val="24"/>
          <w:szCs w:val="24"/>
          <w:lang w:eastAsia="sk-SK"/>
        </w:rPr>
        <w:lastRenderedPageBreak/>
        <w:t>Dojné kravy</w:t>
      </w:r>
    </w:p>
    <w:p w:rsidR="00537323" w:rsidRPr="00537323" w:rsidRDefault="00537323" w:rsidP="00537323">
      <w:pPr>
        <w:spacing w:after="0"/>
        <w:ind w:left="720"/>
        <w:rPr>
          <w:rFonts w:eastAsia="Times New Roman" w:cstheme="minorHAnsi"/>
          <w:sz w:val="24"/>
          <w:szCs w:val="24"/>
          <w:lang w:eastAsia="sk-SK"/>
        </w:rPr>
      </w:pPr>
      <w:r w:rsidRPr="00537323">
        <w:rPr>
          <w:rFonts w:eastAsia="Times New Roman" w:cstheme="minorHAnsi"/>
          <w:sz w:val="24"/>
          <w:szCs w:val="24"/>
          <w:lang w:eastAsia="sk-SK"/>
        </w:rPr>
        <w:t>Hlavná finančná opora firmy, prinášajú vysoké zisky bez toho, aby vyžadovali väčšie finančné vklady. Umožňujú podporovať rozvoj nových aktivít, prípadne kryť straty z útlmu neziskových výrobkov alebo aktivít.</w:t>
      </w:r>
    </w:p>
    <w:p w:rsidR="00537323" w:rsidRPr="00537323" w:rsidRDefault="00537323" w:rsidP="00537323">
      <w:pPr>
        <w:spacing w:after="0"/>
        <w:rPr>
          <w:rFonts w:eastAsia="Times New Roman" w:cstheme="minorHAnsi"/>
          <w:sz w:val="24"/>
          <w:szCs w:val="24"/>
          <w:lang w:eastAsia="sk-SK"/>
        </w:rPr>
      </w:pPr>
      <w:r w:rsidRPr="00537323">
        <w:rPr>
          <w:rFonts w:eastAsia="Times New Roman" w:cstheme="minorHAnsi"/>
          <w:sz w:val="24"/>
          <w:szCs w:val="24"/>
          <w:lang w:eastAsia="sk-SK"/>
        </w:rPr>
        <w:t>Psi</w:t>
      </w:r>
    </w:p>
    <w:p w:rsidR="00537323" w:rsidRPr="00537323" w:rsidRDefault="00537323" w:rsidP="00537323">
      <w:pPr>
        <w:spacing w:after="0"/>
        <w:ind w:left="720"/>
        <w:rPr>
          <w:rFonts w:eastAsia="Times New Roman" w:cstheme="minorHAnsi"/>
          <w:sz w:val="24"/>
          <w:szCs w:val="24"/>
          <w:lang w:eastAsia="sk-SK"/>
        </w:rPr>
      </w:pPr>
      <w:r w:rsidRPr="00537323">
        <w:rPr>
          <w:rFonts w:eastAsia="Times New Roman" w:cstheme="minorHAnsi"/>
          <w:sz w:val="24"/>
          <w:szCs w:val="24"/>
          <w:lang w:eastAsia="sk-SK"/>
        </w:rPr>
        <w:t>Patria sem výrobky, ktoré končia svoju komerčnú dráhu. Je na zvážení podnikov, ako dlho sa oplatí príslušný produkt udržiavať na trhu a podporovať ich predaj zosilnenou marketingovou politikou.</w:t>
      </w:r>
    </w:p>
    <w:p w:rsidR="00537323" w:rsidRPr="00537323" w:rsidRDefault="00537323" w:rsidP="00537323">
      <w:pPr>
        <w:spacing w:after="0"/>
        <w:rPr>
          <w:rFonts w:eastAsia="Times New Roman" w:cstheme="minorHAnsi"/>
          <w:sz w:val="24"/>
          <w:szCs w:val="24"/>
          <w:lang w:eastAsia="sk-SK"/>
        </w:rPr>
      </w:pPr>
      <w:r w:rsidRPr="00537323">
        <w:rPr>
          <w:rFonts w:eastAsia="Times New Roman" w:cstheme="minorHAnsi"/>
          <w:sz w:val="24"/>
          <w:szCs w:val="24"/>
          <w:lang w:eastAsia="sk-SK"/>
        </w:rPr>
        <w:t>Je zrejmé, že jednotlivé produkty postupne menia svoju pozíciu v portfóliu. Analýzy doterajšieho vývoja a pravdepodobnosti budúceho vývoja týchto pozícií sú veľmi dobrým základom pre stanovenie marketingových cieľov.</w:t>
      </w:r>
    </w:p>
    <w:p w:rsidR="00543BB2" w:rsidRDefault="00543BB2"/>
    <w:sectPr w:rsidR="0054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5F7B"/>
    <w:multiLevelType w:val="multilevel"/>
    <w:tmpl w:val="925C4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23"/>
    <w:rsid w:val="00537323"/>
    <w:rsid w:val="0054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37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537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3732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3732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3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37323"/>
    <w:rPr>
      <w:color w:val="0000FF"/>
      <w:u w:val="single"/>
    </w:rPr>
  </w:style>
  <w:style w:type="character" w:customStyle="1" w:styleId="mw-headline">
    <w:name w:val="mw-headline"/>
    <w:basedOn w:val="Predvolenpsmoodseku"/>
    <w:rsid w:val="00537323"/>
  </w:style>
  <w:style w:type="paragraph" w:styleId="Textbubliny">
    <w:name w:val="Balloon Text"/>
    <w:basedOn w:val="Normlny"/>
    <w:link w:val="TextbublinyChar"/>
    <w:uiPriority w:val="99"/>
    <w:semiHidden/>
    <w:unhideWhenUsed/>
    <w:rsid w:val="0053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37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537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3732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3732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3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37323"/>
    <w:rPr>
      <w:color w:val="0000FF"/>
      <w:u w:val="single"/>
    </w:rPr>
  </w:style>
  <w:style w:type="character" w:customStyle="1" w:styleId="mw-headline">
    <w:name w:val="mw-headline"/>
    <w:basedOn w:val="Predvolenpsmoodseku"/>
    <w:rsid w:val="00537323"/>
  </w:style>
  <w:style w:type="paragraph" w:styleId="Textbubliny">
    <w:name w:val="Balloon Text"/>
    <w:basedOn w:val="Normlny"/>
    <w:link w:val="TextbublinyChar"/>
    <w:uiPriority w:val="99"/>
    <w:semiHidden/>
    <w:unhideWhenUsed/>
    <w:rsid w:val="0053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Spojen%C3%A9_%C5%A1t%C3%A1ty" TargetMode="External"/><Relationship Id="rId13" Type="http://schemas.openxmlformats.org/officeDocument/2006/relationships/hyperlink" Target="https://sk.wikipedia.org/wiki/Angli%C4%8Dti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k.wikipedia.org/w/index.php?title=Portf%C3%B3lio&amp;action=edit&amp;redlink=1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Mana%C5%BEment" TargetMode="External"/><Relationship Id="rId11" Type="http://schemas.openxmlformats.org/officeDocument/2006/relationships/hyperlink" Target="https://sk.wikipedia.org/wiki/Podni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k.wikipedia.org/wiki/Mana%C5%BE%C3%A9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.wikipedia.org/wiki/Hospod%C3%A1rska_s%C3%BA%C5%A5a%C5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Krásno nad Kysucou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SOŠDS</dc:creator>
  <cp:keywords/>
  <dc:description/>
  <cp:lastModifiedBy>SOŠDS</cp:lastModifiedBy>
  <cp:revision>1</cp:revision>
  <dcterms:created xsi:type="dcterms:W3CDTF">2015-12-04T12:30:00Z</dcterms:created>
  <dcterms:modified xsi:type="dcterms:W3CDTF">2015-12-04T12:39:00Z</dcterms:modified>
</cp:coreProperties>
</file>